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E9702" w14:textId="62AC6E9D" w:rsidR="000744EA" w:rsidRPr="000120AB" w:rsidRDefault="000744EA" w:rsidP="000744EA">
      <w:pPr>
        <w:rPr>
          <w:b/>
          <w:bCs/>
          <w:sz w:val="28"/>
          <w:szCs w:val="28"/>
          <w:lang w:val="sr-Latn-RS"/>
        </w:rPr>
      </w:pPr>
      <w:r w:rsidRPr="000744EA">
        <w:rPr>
          <w:b/>
          <w:bCs/>
          <w:sz w:val="28"/>
          <w:szCs w:val="28"/>
          <w:lang w:val="sr-Cyrl-RS"/>
        </w:rPr>
        <w:t>Технички опис</w:t>
      </w:r>
      <w:r w:rsidR="008A4B69">
        <w:rPr>
          <w:b/>
          <w:bCs/>
          <w:sz w:val="28"/>
          <w:szCs w:val="28"/>
          <w:lang w:val="sr-Cyrl-RS"/>
        </w:rPr>
        <w:t xml:space="preserve"> </w:t>
      </w:r>
      <w:r w:rsidR="000120AB">
        <w:rPr>
          <w:b/>
          <w:bCs/>
          <w:sz w:val="28"/>
          <w:szCs w:val="28"/>
          <w:lang w:val="sr-Latn-RS"/>
        </w:rPr>
        <w:t xml:space="preserve">- </w:t>
      </w:r>
      <w:proofErr w:type="spellStart"/>
      <w:r w:rsidR="00F34D36">
        <w:rPr>
          <w:b/>
          <w:bCs/>
          <w:sz w:val="28"/>
          <w:szCs w:val="28"/>
          <w:lang w:val="sr-Cyrl-RS"/>
        </w:rPr>
        <w:t>с</w:t>
      </w:r>
      <w:r w:rsidR="008A4B69">
        <w:rPr>
          <w:b/>
          <w:bCs/>
          <w:sz w:val="28"/>
          <w:szCs w:val="28"/>
          <w:lang w:val="sr-Cyrl-RS"/>
        </w:rPr>
        <w:t>аобраћајниц</w:t>
      </w:r>
      <w:proofErr w:type="spellEnd"/>
      <w:r w:rsidR="000120AB">
        <w:rPr>
          <w:b/>
          <w:bCs/>
          <w:sz w:val="28"/>
          <w:szCs w:val="28"/>
          <w:lang w:val="sr-Latn-RS"/>
        </w:rPr>
        <w:t>e</w:t>
      </w:r>
    </w:p>
    <w:p w14:paraId="13BBD184" w14:textId="77777777" w:rsidR="002C0D0E" w:rsidRDefault="002C0D0E" w:rsidP="000744EA">
      <w:pPr>
        <w:rPr>
          <w:b/>
          <w:bCs/>
          <w:lang w:val="sr-Cyrl-RS"/>
        </w:rPr>
      </w:pPr>
    </w:p>
    <w:p w14:paraId="3BE4E336" w14:textId="23F04615" w:rsidR="00F34D36" w:rsidRPr="00F34D36" w:rsidRDefault="00CC65B1" w:rsidP="00CC65B1">
      <w:pPr>
        <w:spacing w:before="120"/>
        <w:jc w:val="both"/>
        <w:rPr>
          <w:rFonts w:cs="Arial"/>
          <w:lang w:val="sr-Cyrl-RS"/>
        </w:rPr>
      </w:pPr>
      <w:r w:rsidRPr="00F34D36">
        <w:rPr>
          <w:rFonts w:cs="Arial"/>
          <w:lang w:val="sr-Cyrl-RS"/>
        </w:rPr>
        <w:t xml:space="preserve">Предмет овог пројекта је изградња нове трасе државног пута IIА-181, која ће повезивати </w:t>
      </w:r>
      <w:r w:rsidR="00F34D36" w:rsidRPr="00F34D36">
        <w:rPr>
          <w:rFonts w:cs="Arial"/>
          <w:lang w:val="sr-Cyrl-RS"/>
        </w:rPr>
        <w:t>О</w:t>
      </w:r>
      <w:r w:rsidRPr="00F34D36">
        <w:rPr>
          <w:rFonts w:cs="Arial"/>
          <w:lang w:val="sr-Cyrl-RS"/>
        </w:rPr>
        <w:t>пштин</w:t>
      </w:r>
      <w:r w:rsidR="00F34D36" w:rsidRPr="00F34D36">
        <w:rPr>
          <w:rFonts w:cs="Arial"/>
          <w:lang w:val="sr-Cyrl-RS"/>
        </w:rPr>
        <w:t>у</w:t>
      </w:r>
      <w:r w:rsidRPr="00F34D36">
        <w:rPr>
          <w:rFonts w:cs="Arial"/>
          <w:lang w:val="sr-Cyrl-RS"/>
        </w:rPr>
        <w:t xml:space="preserve"> </w:t>
      </w:r>
      <w:proofErr w:type="spellStart"/>
      <w:r w:rsidRPr="00F34D36">
        <w:rPr>
          <w:rFonts w:cs="Arial"/>
          <w:lang w:val="sr-Cyrl-RS"/>
        </w:rPr>
        <w:t>Лучани</w:t>
      </w:r>
      <w:proofErr w:type="spellEnd"/>
      <w:r w:rsidRPr="00F34D36">
        <w:rPr>
          <w:rFonts w:cs="Arial"/>
          <w:lang w:val="sr-Cyrl-RS"/>
        </w:rPr>
        <w:t xml:space="preserve"> са државним путем IБ-23</w:t>
      </w:r>
      <w:r w:rsidR="00F34D36" w:rsidRPr="00F34D36">
        <w:rPr>
          <w:rFonts w:cs="Arial"/>
          <w:lang w:val="sr-Cyrl-RS"/>
        </w:rPr>
        <w:t xml:space="preserve">, а у наставку преко постојеће деонице која је предмет рехабилитације омогућује се веза </w:t>
      </w:r>
      <w:proofErr w:type="spellStart"/>
      <w:r w:rsidR="00F34D36" w:rsidRPr="00F34D36">
        <w:rPr>
          <w:rFonts w:cs="Arial"/>
          <w:lang w:val="sr-Cyrl-RS"/>
        </w:rPr>
        <w:t>Лучана</w:t>
      </w:r>
      <w:proofErr w:type="spellEnd"/>
      <w:r w:rsidR="00F34D36" w:rsidRPr="00F34D36">
        <w:rPr>
          <w:rFonts w:cs="Arial"/>
          <w:lang w:val="sr-Cyrl-RS"/>
        </w:rPr>
        <w:t xml:space="preserve"> са </w:t>
      </w:r>
      <w:proofErr w:type="spellStart"/>
      <w:r w:rsidR="00F34D36" w:rsidRPr="00F34D36">
        <w:rPr>
          <w:rFonts w:cs="Arial"/>
          <w:lang w:val="sr-Cyrl-RS"/>
        </w:rPr>
        <w:t>аутопутем</w:t>
      </w:r>
      <w:proofErr w:type="spellEnd"/>
      <w:r w:rsidR="00F34D36" w:rsidRPr="00F34D36">
        <w:rPr>
          <w:rFonts w:cs="Arial"/>
          <w:lang w:val="sr-Cyrl-RS"/>
        </w:rPr>
        <w:t xml:space="preserve"> А2. Нова траса, односно измештање постојећег </w:t>
      </w:r>
      <w:proofErr w:type="spellStart"/>
      <w:r w:rsidR="00F34D36" w:rsidRPr="00F34D36">
        <w:rPr>
          <w:rFonts w:cs="Arial"/>
          <w:lang w:val="sr-Cyrl-RS"/>
        </w:rPr>
        <w:t>прикљичка</w:t>
      </w:r>
      <w:proofErr w:type="spellEnd"/>
      <w:r w:rsidR="00F34D36" w:rsidRPr="00F34D36">
        <w:rPr>
          <w:rFonts w:cs="Arial"/>
          <w:lang w:val="sr-Cyrl-RS"/>
        </w:rPr>
        <w:t xml:space="preserve"> је неопходно јер се постојећи налази на вероватно </w:t>
      </w:r>
      <w:proofErr w:type="spellStart"/>
      <w:r w:rsidR="00F34D36" w:rsidRPr="00F34D36">
        <w:rPr>
          <w:rFonts w:cs="Arial"/>
          <w:lang w:val="sr-Cyrl-RS"/>
        </w:rPr>
        <w:t>најнебезбеднијем</w:t>
      </w:r>
      <w:proofErr w:type="spellEnd"/>
      <w:r w:rsidR="00F34D36" w:rsidRPr="00F34D36">
        <w:rPr>
          <w:rFonts w:cs="Arial"/>
          <w:lang w:val="sr-Cyrl-RS"/>
        </w:rPr>
        <w:t xml:space="preserve"> месту за такву врсту прикључка на територији Србије. Постојећа траса поред небезбедног прикључка у наставку иде преклопљено са постојећим индустријским колосеком што је додатно неповољно, а и небезбедно.</w:t>
      </w:r>
    </w:p>
    <w:p w14:paraId="47B53F83" w14:textId="3DF4FA22" w:rsidR="00CC65B1" w:rsidRPr="00204F40" w:rsidRDefault="00CC65B1" w:rsidP="00CC65B1">
      <w:pPr>
        <w:spacing w:before="120"/>
        <w:jc w:val="both"/>
        <w:rPr>
          <w:rFonts w:cs="Arial"/>
          <w:lang w:val="sr-Cyrl-RS"/>
        </w:rPr>
      </w:pPr>
      <w:r w:rsidRPr="00204F40">
        <w:rPr>
          <w:rFonts w:cs="Arial"/>
          <w:lang w:val="sr-Cyrl-RS"/>
        </w:rPr>
        <w:t xml:space="preserve">Пројекат обухвата изградњу новог дела државног пута у дужини од приближно 1.300 метара, укључујући три кружне раскрснице на укрштањима са државним путем IБ-23, општинским путем за </w:t>
      </w:r>
      <w:proofErr w:type="spellStart"/>
      <w:r w:rsidRPr="00204F40">
        <w:rPr>
          <w:rFonts w:cs="Arial"/>
          <w:lang w:val="sr-Cyrl-RS"/>
        </w:rPr>
        <w:t>Пилатовиће</w:t>
      </w:r>
      <w:proofErr w:type="spellEnd"/>
      <w:r w:rsidRPr="00204F40">
        <w:rPr>
          <w:rFonts w:cs="Arial"/>
          <w:lang w:val="sr-Cyrl-RS"/>
        </w:rPr>
        <w:t xml:space="preserve"> и на месту прикључка </w:t>
      </w:r>
      <w:r w:rsidR="00F34D36" w:rsidRPr="00204F40">
        <w:rPr>
          <w:rFonts w:cs="Arial"/>
          <w:lang w:val="sr-Cyrl-RS"/>
        </w:rPr>
        <w:t>з</w:t>
      </w:r>
      <w:r w:rsidRPr="00204F40">
        <w:rPr>
          <w:rFonts w:cs="Arial"/>
          <w:lang w:val="sr-Cyrl-RS"/>
        </w:rPr>
        <w:t xml:space="preserve">а </w:t>
      </w:r>
      <w:proofErr w:type="spellStart"/>
      <w:r w:rsidRPr="00204F40">
        <w:rPr>
          <w:rFonts w:cs="Arial"/>
          <w:lang w:val="sr-Cyrl-RS"/>
        </w:rPr>
        <w:t>Лучан</w:t>
      </w:r>
      <w:r w:rsidR="00F34D36" w:rsidRPr="00204F40">
        <w:rPr>
          <w:rFonts w:cs="Arial"/>
          <w:lang w:val="sr-Cyrl-RS"/>
        </w:rPr>
        <w:t>е</w:t>
      </w:r>
      <w:proofErr w:type="spellEnd"/>
      <w:r w:rsidR="00F34D36" w:rsidRPr="00204F40">
        <w:rPr>
          <w:rFonts w:cs="Arial"/>
          <w:lang w:val="sr-Cyrl-RS"/>
        </w:rPr>
        <w:t xml:space="preserve"> (у насељеном месту </w:t>
      </w:r>
      <w:proofErr w:type="spellStart"/>
      <w:r w:rsidR="00F34D36" w:rsidRPr="00204F40">
        <w:rPr>
          <w:rFonts w:cs="Arial"/>
          <w:lang w:val="sr-Cyrl-RS"/>
        </w:rPr>
        <w:t>Дљин</w:t>
      </w:r>
      <w:proofErr w:type="spellEnd"/>
      <w:r w:rsidR="00F34D36" w:rsidRPr="00204F40">
        <w:rPr>
          <w:rFonts w:cs="Arial"/>
          <w:lang w:val="sr-Cyrl-RS"/>
        </w:rPr>
        <w:t>)</w:t>
      </w:r>
      <w:r w:rsidRPr="00204F40">
        <w:rPr>
          <w:rFonts w:cs="Arial"/>
          <w:lang w:val="sr-Cyrl-RS"/>
        </w:rPr>
        <w:t>.</w:t>
      </w:r>
    </w:p>
    <w:p w14:paraId="6C1C178C" w14:textId="77777777" w:rsidR="00204F40" w:rsidRPr="00204F40" w:rsidRDefault="00CC65B1" w:rsidP="00CC65B1">
      <w:pPr>
        <w:spacing w:before="120"/>
        <w:jc w:val="both"/>
        <w:rPr>
          <w:rFonts w:cs="Arial"/>
          <w:lang w:val="sr-Cyrl-RS"/>
        </w:rPr>
      </w:pPr>
      <w:r w:rsidRPr="00204F40">
        <w:rPr>
          <w:rFonts w:cs="Arial"/>
          <w:lang w:val="sr-Cyrl-RS"/>
        </w:rPr>
        <w:t>С обзиром на конфигурацију терена, прва кружна раскрсница, названа „</w:t>
      </w:r>
      <w:proofErr w:type="spellStart"/>
      <w:r w:rsidRPr="00204F40">
        <w:rPr>
          <w:rFonts w:cs="Arial"/>
          <w:lang w:val="sr-Cyrl-RS"/>
        </w:rPr>
        <w:t>Кратовска</w:t>
      </w:r>
      <w:proofErr w:type="spellEnd"/>
      <w:r w:rsidRPr="00204F40">
        <w:rPr>
          <w:rFonts w:cs="Arial"/>
          <w:lang w:val="sr-Cyrl-RS"/>
        </w:rPr>
        <w:t xml:space="preserve"> Стена“, која ће се налазити на државном путу IБ-23, биће постављена</w:t>
      </w:r>
      <w:r w:rsidR="00204F40" w:rsidRPr="00204F40">
        <w:rPr>
          <w:rFonts w:cs="Arial"/>
          <w:lang w:val="sr-Cyrl-RS"/>
        </w:rPr>
        <w:t xml:space="preserve"> делом на постојећој траси у усеку, а делом</w:t>
      </w:r>
      <w:r w:rsidRPr="00204F40">
        <w:rPr>
          <w:rFonts w:cs="Arial"/>
          <w:lang w:val="sr-Cyrl-RS"/>
        </w:rPr>
        <w:t xml:space="preserve"> на бетонској конструкцији. Поред ове раскрснице, пројекат предвиђа изградњу вијадукта непосредно иза кружне раскрснице, као и изградњу моста преко Западне Мораве.</w:t>
      </w:r>
    </w:p>
    <w:p w14:paraId="661D1235" w14:textId="0D372A4B" w:rsidR="00CC65B1" w:rsidRPr="00204F40" w:rsidRDefault="00204F40" w:rsidP="00CC65B1">
      <w:pPr>
        <w:spacing w:before="120"/>
        <w:jc w:val="both"/>
        <w:rPr>
          <w:rFonts w:cs="Arial"/>
          <w:lang w:val="sr-Cyrl-RS"/>
        </w:rPr>
      </w:pPr>
      <w:r w:rsidRPr="00204F40">
        <w:rPr>
          <w:rFonts w:cs="Arial"/>
          <w:lang w:val="sr-Cyrl-RS"/>
        </w:rPr>
        <w:t xml:space="preserve">Друга кружна раскрсница је на месту прикључка за </w:t>
      </w:r>
      <w:proofErr w:type="spellStart"/>
      <w:r w:rsidRPr="00204F40">
        <w:rPr>
          <w:rFonts w:cs="Arial"/>
          <w:lang w:val="sr-Cyrl-RS"/>
        </w:rPr>
        <w:t>Лучане</w:t>
      </w:r>
      <w:proofErr w:type="spellEnd"/>
      <w:r w:rsidRPr="00204F40">
        <w:rPr>
          <w:rFonts w:cs="Arial"/>
          <w:lang w:val="sr-Cyrl-RS"/>
        </w:rPr>
        <w:t xml:space="preserve"> које се остварује изградњом новог моста преко Бјелице у </w:t>
      </w:r>
      <w:proofErr w:type="spellStart"/>
      <w:r w:rsidRPr="00204F40">
        <w:rPr>
          <w:rFonts w:cs="Arial"/>
          <w:lang w:val="sr-Cyrl-RS"/>
        </w:rPr>
        <w:t>Дљину</w:t>
      </w:r>
      <w:proofErr w:type="spellEnd"/>
      <w:r w:rsidRPr="00204F40">
        <w:rPr>
          <w:rFonts w:cs="Arial"/>
          <w:lang w:val="sr-Cyrl-RS"/>
        </w:rPr>
        <w:t xml:space="preserve">. </w:t>
      </w:r>
      <w:r w:rsidR="00CC65B1" w:rsidRPr="00204F40">
        <w:rPr>
          <w:rFonts w:cs="Arial"/>
          <w:lang w:val="sr-Cyrl-RS"/>
        </w:rPr>
        <w:t xml:space="preserve">Разлог за померање моста у </w:t>
      </w:r>
      <w:proofErr w:type="spellStart"/>
      <w:r w:rsidR="00CC65B1" w:rsidRPr="00204F40">
        <w:rPr>
          <w:rFonts w:cs="Arial"/>
          <w:lang w:val="sr-Cyrl-RS"/>
        </w:rPr>
        <w:t>Дљину</w:t>
      </w:r>
      <w:proofErr w:type="spellEnd"/>
      <w:r w:rsidR="00CC65B1" w:rsidRPr="00204F40">
        <w:rPr>
          <w:rFonts w:cs="Arial"/>
          <w:lang w:val="sr-Cyrl-RS"/>
        </w:rPr>
        <w:t xml:space="preserve"> низводно је у складу са захтевима водопривреде и хидролошким анализама, јер тренутна позиција моста представља најнеповољнију локацију са аспекта хидрологије (на најужем делу корита реке Бјелице). Нова позиција моста биће изабрана на крају </w:t>
      </w:r>
      <w:proofErr w:type="spellStart"/>
      <w:r w:rsidR="00CC65B1" w:rsidRPr="00204F40">
        <w:rPr>
          <w:rFonts w:cs="Arial"/>
          <w:lang w:val="sr-Cyrl-RS"/>
        </w:rPr>
        <w:t>одбранбеног</w:t>
      </w:r>
      <w:proofErr w:type="spellEnd"/>
      <w:r w:rsidR="00CC65B1" w:rsidRPr="00204F40">
        <w:rPr>
          <w:rFonts w:cs="Arial"/>
          <w:lang w:val="sr-Cyrl-RS"/>
        </w:rPr>
        <w:t xml:space="preserve"> насипа за </w:t>
      </w:r>
      <w:r w:rsidRPr="00204F40">
        <w:rPr>
          <w:rFonts w:cs="Arial"/>
          <w:lang w:val="sr-Cyrl-RS"/>
        </w:rPr>
        <w:t>Општина</w:t>
      </w:r>
      <w:r w:rsidR="00CC65B1" w:rsidRPr="00204F40">
        <w:rPr>
          <w:rFonts w:cs="Arial"/>
          <w:lang w:val="sr-Cyrl-RS"/>
        </w:rPr>
        <w:t xml:space="preserve"> </w:t>
      </w:r>
      <w:proofErr w:type="spellStart"/>
      <w:r w:rsidR="00CC65B1" w:rsidRPr="00204F40">
        <w:rPr>
          <w:rFonts w:cs="Arial"/>
          <w:lang w:val="sr-Cyrl-RS"/>
        </w:rPr>
        <w:t>Лучане</w:t>
      </w:r>
      <w:proofErr w:type="spellEnd"/>
      <w:r w:rsidR="00CC65B1" w:rsidRPr="00204F40">
        <w:rPr>
          <w:rFonts w:cs="Arial"/>
          <w:lang w:val="sr-Cyrl-RS"/>
        </w:rPr>
        <w:t xml:space="preserve"> уз реку Бјелицу, а место за кружну раскрсницу на раскрсници са државним путем IIА-181 је одабрано као најпогодније.</w:t>
      </w:r>
    </w:p>
    <w:p w14:paraId="37934306" w14:textId="77777777" w:rsidR="00CC65B1" w:rsidRPr="00B42E7B" w:rsidRDefault="00CC65B1" w:rsidP="00CC65B1">
      <w:pPr>
        <w:spacing w:before="120"/>
        <w:jc w:val="both"/>
        <w:rPr>
          <w:rFonts w:cs="Arial"/>
          <w:color w:val="70AD47" w:themeColor="accent6"/>
          <w:lang w:val="sr-Latn-RS"/>
        </w:rPr>
      </w:pPr>
      <w:r w:rsidRPr="00B42E7B">
        <w:rPr>
          <w:rFonts w:cs="Arial"/>
          <w:color w:val="70AD47" w:themeColor="accent6"/>
          <w:lang w:val="sr-Cyrl-RS"/>
        </w:rPr>
        <w:t xml:space="preserve">Изградњом ове деонице државног пута, укинуће се постојећи укрштај државних путева IБ-23 и IIА-181 у чвору </w:t>
      </w:r>
      <w:proofErr w:type="spellStart"/>
      <w:r w:rsidRPr="00B42E7B">
        <w:rPr>
          <w:rFonts w:cs="Arial"/>
          <w:color w:val="70AD47" w:themeColor="accent6"/>
          <w:lang w:val="sr-Cyrl-RS"/>
        </w:rPr>
        <w:t>Кратовска</w:t>
      </w:r>
      <w:proofErr w:type="spellEnd"/>
      <w:r w:rsidRPr="00B42E7B">
        <w:rPr>
          <w:rFonts w:cs="Arial"/>
          <w:color w:val="70AD47" w:themeColor="accent6"/>
          <w:lang w:val="sr-Cyrl-RS"/>
        </w:rPr>
        <w:t xml:space="preserve"> Стена, који се налази непосредно испред улаза у тунел „</w:t>
      </w:r>
      <w:proofErr w:type="spellStart"/>
      <w:r w:rsidRPr="00B42E7B">
        <w:rPr>
          <w:rFonts w:cs="Arial"/>
          <w:color w:val="70AD47" w:themeColor="accent6"/>
          <w:lang w:val="sr-Cyrl-RS"/>
        </w:rPr>
        <w:t>Кратовска</w:t>
      </w:r>
      <w:proofErr w:type="spellEnd"/>
      <w:r w:rsidRPr="00B42E7B">
        <w:rPr>
          <w:rFonts w:cs="Arial"/>
          <w:color w:val="70AD47" w:themeColor="accent6"/>
          <w:lang w:val="sr-Cyrl-RS"/>
        </w:rPr>
        <w:t xml:space="preserve"> Стена“, у смеру ка Ужицу. Траса државног пута IIА-181 биће измењена на пролазу кроз општину </w:t>
      </w:r>
      <w:proofErr w:type="spellStart"/>
      <w:r w:rsidRPr="00B42E7B">
        <w:rPr>
          <w:rFonts w:cs="Arial"/>
          <w:color w:val="70AD47" w:themeColor="accent6"/>
          <w:lang w:val="sr-Cyrl-RS"/>
        </w:rPr>
        <w:t>Лучани</w:t>
      </w:r>
      <w:proofErr w:type="spellEnd"/>
      <w:r w:rsidRPr="00B42E7B">
        <w:rPr>
          <w:rFonts w:cs="Arial"/>
          <w:color w:val="70AD47" w:themeColor="accent6"/>
          <w:lang w:val="sr-Cyrl-RS"/>
        </w:rPr>
        <w:t xml:space="preserve">, чиме ће део општинског пута за </w:t>
      </w:r>
      <w:proofErr w:type="spellStart"/>
      <w:r w:rsidRPr="00B42E7B">
        <w:rPr>
          <w:rFonts w:cs="Arial"/>
          <w:color w:val="70AD47" w:themeColor="accent6"/>
          <w:lang w:val="sr-Cyrl-RS"/>
        </w:rPr>
        <w:t>Пилатовиће</w:t>
      </w:r>
      <w:proofErr w:type="spellEnd"/>
      <w:r w:rsidRPr="00B42E7B">
        <w:rPr>
          <w:rFonts w:cs="Arial"/>
          <w:color w:val="70AD47" w:themeColor="accent6"/>
          <w:lang w:val="sr-Cyrl-RS"/>
        </w:rPr>
        <w:t xml:space="preserve"> постати део државног пута. </w:t>
      </w:r>
    </w:p>
    <w:p w14:paraId="50A11A1C" w14:textId="7B13899D" w:rsidR="000F4DBF" w:rsidRPr="00204F40" w:rsidRDefault="000F4DBF" w:rsidP="00CC65B1">
      <w:pPr>
        <w:spacing w:before="120"/>
        <w:jc w:val="both"/>
        <w:rPr>
          <w:rFonts w:cs="Arial"/>
          <w:lang w:val="sr-Latn-RS"/>
        </w:rPr>
      </w:pPr>
      <w:r w:rsidRPr="00204F40">
        <w:rPr>
          <w:rFonts w:eastAsia="TimesNewRomanPSMT" w:cs="Arial"/>
          <w:lang w:val="sr-Cyrl-RS"/>
        </w:rPr>
        <w:t>Сви елементи трасе су пројектовани у складу са савременим принципима пројектовања. Посебна пажња је посвећена томе да на локацијама где су пројектовани мостови, геометрија трасе буде у правцу.</w:t>
      </w:r>
    </w:p>
    <w:p w14:paraId="2413C5EF" w14:textId="763B00F8" w:rsidR="00A10AA8" w:rsidRPr="00B42E7B" w:rsidRDefault="00A10AA8" w:rsidP="000F4DBF">
      <w:pPr>
        <w:spacing w:before="120"/>
        <w:jc w:val="both"/>
        <w:rPr>
          <w:rFonts w:eastAsia="TimesNewRomanPSMT" w:cs="Arial"/>
          <w:color w:val="70AD47" w:themeColor="accent6"/>
          <w:lang w:val="sr-Latn-RS"/>
        </w:rPr>
      </w:pPr>
      <w:bookmarkStart w:id="0" w:name="_Hlk179638622"/>
      <w:r w:rsidRPr="00B42E7B">
        <w:rPr>
          <w:rFonts w:eastAsia="TimesNewRomanPSMT" w:cs="Arial"/>
          <w:color w:val="70AD47" w:themeColor="accent6"/>
          <w:lang w:val="sr-Cyrl-RS"/>
        </w:rPr>
        <w:t>Усвојени елементи попречног профила:</w:t>
      </w:r>
    </w:p>
    <w:p w14:paraId="3874D7AB" w14:textId="77777777" w:rsidR="000744EA" w:rsidRPr="00B42E7B" w:rsidRDefault="000744EA" w:rsidP="00A10AA8">
      <w:pPr>
        <w:numPr>
          <w:ilvl w:val="0"/>
          <w:numId w:val="6"/>
        </w:numPr>
        <w:spacing w:before="120" w:after="0" w:line="240" w:lineRule="auto"/>
        <w:jc w:val="both"/>
        <w:rPr>
          <w:color w:val="70AD47" w:themeColor="accent6"/>
          <w:lang w:val="sr-Cyrl-RS"/>
        </w:rPr>
      </w:pPr>
      <w:r w:rsidRPr="00B42E7B">
        <w:rPr>
          <w:color w:val="70AD47" w:themeColor="accent6"/>
          <w:lang w:val="sr-Cyrl-RS"/>
        </w:rPr>
        <w:t>Ширина коловоза</w:t>
      </w:r>
      <w:r w:rsidRPr="00B42E7B">
        <w:rPr>
          <w:color w:val="70AD47" w:themeColor="accent6"/>
          <w:lang w:val="sr-Latn-RS"/>
        </w:rPr>
        <w:t>:</w:t>
      </w:r>
      <w:r w:rsidRPr="00B42E7B">
        <w:rPr>
          <w:color w:val="70AD47" w:themeColor="accent6"/>
          <w:lang w:val="sr-Cyrl-RS"/>
        </w:rPr>
        <w:t xml:space="preserve"> </w:t>
      </w:r>
      <w:r w:rsidRPr="00B42E7B">
        <w:rPr>
          <w:color w:val="70AD47" w:themeColor="accent6"/>
          <w:lang w:val="sr-Latn-RS"/>
        </w:rPr>
        <w:t>2 x 3.25</w:t>
      </w:r>
      <w:r w:rsidRPr="00B42E7B">
        <w:rPr>
          <w:color w:val="70AD47" w:themeColor="accent6"/>
          <w:lang w:val="sr-Cyrl-RS"/>
        </w:rPr>
        <w:t xml:space="preserve"> </w:t>
      </w:r>
      <w:r w:rsidRPr="00B42E7B">
        <w:rPr>
          <w:color w:val="70AD47" w:themeColor="accent6"/>
          <w:lang w:val="sr-Latn-RS"/>
        </w:rPr>
        <w:t>m</w:t>
      </w:r>
      <w:r w:rsidRPr="00B42E7B">
        <w:rPr>
          <w:color w:val="70AD47" w:themeColor="accent6"/>
          <w:lang w:val="sr-Cyrl-RS"/>
        </w:rPr>
        <w:t xml:space="preserve"> (возне траке)</w:t>
      </w:r>
      <w:r w:rsidRPr="00B42E7B">
        <w:rPr>
          <w:color w:val="70AD47" w:themeColor="accent6"/>
          <w:lang w:val="sr-Latn-RS"/>
        </w:rPr>
        <w:t xml:space="preserve"> + 2 x 0.35 m</w:t>
      </w:r>
      <w:r w:rsidRPr="00B42E7B">
        <w:rPr>
          <w:color w:val="70AD47" w:themeColor="accent6"/>
          <w:lang w:val="sr-Cyrl-RS"/>
        </w:rPr>
        <w:t xml:space="preserve"> (ивичне траке) - укупно </w:t>
      </w:r>
      <w:r w:rsidRPr="00B42E7B">
        <w:rPr>
          <w:color w:val="70AD47" w:themeColor="accent6"/>
          <w:lang w:val="sr-Latn-RS"/>
        </w:rPr>
        <w:t>7.20 m</w:t>
      </w:r>
      <w:r w:rsidRPr="00B42E7B">
        <w:rPr>
          <w:color w:val="70AD47" w:themeColor="accent6"/>
          <w:lang w:val="sr-Cyrl-RS"/>
        </w:rPr>
        <w:t>;</w:t>
      </w:r>
    </w:p>
    <w:p w14:paraId="7582818D" w14:textId="77777777" w:rsidR="000744EA" w:rsidRPr="00B42E7B" w:rsidRDefault="000744EA" w:rsidP="00A10AA8">
      <w:pPr>
        <w:numPr>
          <w:ilvl w:val="0"/>
          <w:numId w:val="6"/>
        </w:numPr>
        <w:spacing w:before="120" w:after="0" w:line="240" w:lineRule="auto"/>
        <w:jc w:val="both"/>
        <w:rPr>
          <w:color w:val="70AD47" w:themeColor="accent6"/>
          <w:lang w:val="sr-Cyrl-RS"/>
        </w:rPr>
      </w:pPr>
      <w:r w:rsidRPr="00B42E7B">
        <w:rPr>
          <w:color w:val="70AD47" w:themeColor="accent6"/>
          <w:lang w:val="sr-Cyrl-RS"/>
        </w:rPr>
        <w:t xml:space="preserve">Ширина банкине 1.50 </w:t>
      </w:r>
      <w:r w:rsidRPr="00B42E7B">
        <w:rPr>
          <w:color w:val="70AD47" w:themeColor="accent6"/>
          <w:lang w:val="sr-Latn-RS"/>
        </w:rPr>
        <w:t>m</w:t>
      </w:r>
      <w:r w:rsidRPr="00B42E7B">
        <w:rPr>
          <w:color w:val="70AD47" w:themeColor="accent6"/>
          <w:lang w:val="sr-Cyrl-RS"/>
        </w:rPr>
        <w:t xml:space="preserve"> (2.00 </w:t>
      </w:r>
      <w:r w:rsidRPr="00B42E7B">
        <w:rPr>
          <w:color w:val="70AD47" w:themeColor="accent6"/>
          <w:lang w:val="sr-Latn-RS"/>
        </w:rPr>
        <w:t>m</w:t>
      </w:r>
      <w:r w:rsidRPr="00B42E7B">
        <w:rPr>
          <w:color w:val="70AD47" w:themeColor="accent6"/>
          <w:lang w:val="sr-Cyrl-RS"/>
        </w:rPr>
        <w:t xml:space="preserve"> на деловима где се планира јавна расвета);</w:t>
      </w:r>
    </w:p>
    <w:p w14:paraId="2AB0F489" w14:textId="6BB359CC" w:rsidR="000744EA" w:rsidRPr="00B42E7B" w:rsidRDefault="000744EA" w:rsidP="00A10AA8">
      <w:pPr>
        <w:numPr>
          <w:ilvl w:val="0"/>
          <w:numId w:val="6"/>
        </w:numPr>
        <w:spacing w:before="120" w:after="0" w:line="240" w:lineRule="auto"/>
        <w:jc w:val="both"/>
        <w:rPr>
          <w:color w:val="70AD47" w:themeColor="accent6"/>
          <w:lang w:val="sr-Cyrl-RS"/>
        </w:rPr>
      </w:pPr>
      <w:r w:rsidRPr="00B42E7B">
        <w:rPr>
          <w:color w:val="70AD47" w:themeColor="accent6"/>
          <w:lang w:val="sr-Cyrl-RS"/>
        </w:rPr>
        <w:t xml:space="preserve">Ширина тротоара (на делу државног пута у насељу </w:t>
      </w:r>
      <w:proofErr w:type="spellStart"/>
      <w:r w:rsidRPr="00B42E7B">
        <w:rPr>
          <w:color w:val="70AD47" w:themeColor="accent6"/>
          <w:lang w:val="sr-Cyrl-RS"/>
        </w:rPr>
        <w:t>Дљин</w:t>
      </w:r>
      <w:proofErr w:type="spellEnd"/>
      <w:r w:rsidRPr="00B42E7B">
        <w:rPr>
          <w:color w:val="70AD47" w:themeColor="accent6"/>
          <w:lang w:val="sr-Cyrl-RS"/>
        </w:rPr>
        <w:t xml:space="preserve">): </w:t>
      </w:r>
      <w:r w:rsidR="00074418" w:rsidRPr="00B42E7B">
        <w:rPr>
          <w:color w:val="70AD47" w:themeColor="accent6"/>
        </w:rPr>
        <w:t>2</w:t>
      </w:r>
      <w:r w:rsidRPr="00B42E7B">
        <w:rPr>
          <w:color w:val="70AD47" w:themeColor="accent6"/>
          <w:lang w:val="sr-Cyrl-RS"/>
        </w:rPr>
        <w:t>.</w:t>
      </w:r>
      <w:r w:rsidR="00074418" w:rsidRPr="00B42E7B">
        <w:rPr>
          <w:color w:val="70AD47" w:themeColor="accent6"/>
        </w:rPr>
        <w:t>0</w:t>
      </w:r>
      <w:r w:rsidRPr="00B42E7B">
        <w:rPr>
          <w:color w:val="70AD47" w:themeColor="accent6"/>
          <w:lang w:val="sr-Cyrl-RS"/>
        </w:rPr>
        <w:t xml:space="preserve">0 </w:t>
      </w:r>
      <w:r w:rsidRPr="00B42E7B">
        <w:rPr>
          <w:color w:val="70AD47" w:themeColor="accent6"/>
          <w:lang w:val="sr-Latn-RS"/>
        </w:rPr>
        <w:t>m</w:t>
      </w:r>
      <w:r w:rsidRPr="00B42E7B">
        <w:rPr>
          <w:color w:val="70AD47" w:themeColor="accent6"/>
          <w:lang w:val="sr-Cyrl-RS"/>
        </w:rPr>
        <w:t>.</w:t>
      </w:r>
    </w:p>
    <w:bookmarkEnd w:id="0"/>
    <w:p w14:paraId="61A1FE6A" w14:textId="2B5D1826" w:rsidR="000744EA" w:rsidRPr="00204F40" w:rsidRDefault="00CC65B1" w:rsidP="00A10AA8">
      <w:pPr>
        <w:spacing w:before="120"/>
        <w:jc w:val="both"/>
        <w:rPr>
          <w:lang w:val="sr-Cyrl-RS"/>
        </w:rPr>
      </w:pPr>
      <w:r w:rsidRPr="00204F40">
        <w:rPr>
          <w:lang w:val="sr-Cyrl-RS"/>
        </w:rPr>
        <w:t xml:space="preserve">На местима </w:t>
      </w:r>
      <w:proofErr w:type="spellStart"/>
      <w:r w:rsidRPr="00204F40">
        <w:rPr>
          <w:lang w:val="sr-Cyrl-RS"/>
        </w:rPr>
        <w:t>укрштаја</w:t>
      </w:r>
      <w:proofErr w:type="spellEnd"/>
      <w:r w:rsidRPr="00204F40">
        <w:rPr>
          <w:lang w:val="sr-Cyrl-RS"/>
        </w:rPr>
        <w:t xml:space="preserve"> нове трасе са државним путем IБ-23, општинским путем за </w:t>
      </w:r>
      <w:proofErr w:type="spellStart"/>
      <w:r w:rsidRPr="00204F40">
        <w:rPr>
          <w:lang w:val="sr-Cyrl-RS"/>
        </w:rPr>
        <w:t>Пилатовиће</w:t>
      </w:r>
      <w:proofErr w:type="spellEnd"/>
      <w:r w:rsidRPr="00204F40">
        <w:rPr>
          <w:lang w:val="sr-Cyrl-RS"/>
        </w:rPr>
        <w:t xml:space="preserve">, као и на месту </w:t>
      </w:r>
      <w:proofErr w:type="spellStart"/>
      <w:r w:rsidRPr="00204F40">
        <w:rPr>
          <w:lang w:val="sr-Cyrl-RS"/>
        </w:rPr>
        <w:t>укрштаја</w:t>
      </w:r>
      <w:proofErr w:type="spellEnd"/>
      <w:r w:rsidRPr="00204F40">
        <w:rPr>
          <w:lang w:val="sr-Cyrl-RS"/>
        </w:rPr>
        <w:t xml:space="preserve"> нове трасе са новим мостом преко реке Бјелице (нова позиција моста у </w:t>
      </w:r>
      <w:proofErr w:type="spellStart"/>
      <w:r w:rsidRPr="00204F40">
        <w:rPr>
          <w:lang w:val="sr-Cyrl-RS"/>
        </w:rPr>
        <w:t>Дљину</w:t>
      </w:r>
      <w:proofErr w:type="spellEnd"/>
      <w:r w:rsidRPr="00204F40">
        <w:rPr>
          <w:lang w:val="sr-Cyrl-RS"/>
        </w:rPr>
        <w:t>), предвиђене су кружне раскрснице пречника</w:t>
      </w:r>
      <w:r w:rsidRPr="00204F40">
        <w:rPr>
          <w:lang w:val="sr-Latn-RS"/>
        </w:rPr>
        <w:t xml:space="preserve"> </w:t>
      </w:r>
      <w:r w:rsidR="000744EA" w:rsidRPr="00204F40">
        <w:rPr>
          <w:lang w:val="sr-Latn-RS"/>
        </w:rPr>
        <w:t xml:space="preserve">D=35 m. </w:t>
      </w:r>
    </w:p>
    <w:p w14:paraId="45EEF1B5" w14:textId="05C4E57E" w:rsidR="000744EA" w:rsidRPr="00204F40" w:rsidRDefault="000744EA" w:rsidP="00CC65B1">
      <w:pPr>
        <w:jc w:val="both"/>
        <w:rPr>
          <w:b/>
          <w:bCs/>
          <w:lang w:val="sr-Cyrl-RS"/>
        </w:rPr>
      </w:pPr>
      <w:bookmarkStart w:id="1" w:name="_Hlk179638595"/>
      <w:r w:rsidRPr="00204F40">
        <w:rPr>
          <w:b/>
          <w:bCs/>
          <w:lang w:val="sr-Cyrl-RS"/>
        </w:rPr>
        <w:lastRenderedPageBreak/>
        <w:t>На предметним саобраћајницама усвојени су следећи гранични елементи плана и профила</w:t>
      </w:r>
      <w:r w:rsidR="00CC65B1" w:rsidRPr="00204F40">
        <w:rPr>
          <w:b/>
          <w:bCs/>
          <w:lang w:val="sr-Cyrl-RS"/>
        </w:rPr>
        <w:t xml:space="preserve"> за рачунску брзину </w:t>
      </w:r>
      <w:proofErr w:type="spellStart"/>
      <w:r w:rsidRPr="00204F40">
        <w:rPr>
          <w:b/>
          <w:bCs/>
        </w:rPr>
        <w:t>Vr</w:t>
      </w:r>
      <w:proofErr w:type="spellEnd"/>
      <w:r w:rsidRPr="00204F40">
        <w:rPr>
          <w:b/>
          <w:bCs/>
        </w:rPr>
        <w:t>=60km/h</w:t>
      </w:r>
      <w:r w:rsidR="00CC65B1" w:rsidRPr="00204F40">
        <w:rPr>
          <w:b/>
          <w:bCs/>
          <w:lang w:val="sr-Cyrl-RS"/>
        </w:rPr>
        <w:t>:</w:t>
      </w:r>
    </w:p>
    <w:tbl>
      <w:tblPr>
        <w:tblStyle w:val="TableGrid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693"/>
      </w:tblGrid>
      <w:tr w:rsidR="00204F40" w:rsidRPr="00204F40" w14:paraId="6FA1691B" w14:textId="77777777" w:rsidTr="000744EA">
        <w:tc>
          <w:tcPr>
            <w:tcW w:w="6204" w:type="dxa"/>
            <w:hideMark/>
          </w:tcPr>
          <w:p w14:paraId="7ABB7701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Минимални полупречник хоризонталне кривине </w:t>
            </w:r>
            <w:proofErr w:type="spellStart"/>
            <w:r w:rsidRPr="00204F40">
              <w:rPr>
                <w:i/>
                <w:iCs/>
                <w:lang w:val="sr-Cyrl-RS"/>
              </w:rPr>
              <w:t>minR</w:t>
            </w:r>
            <w:proofErr w:type="spellEnd"/>
          </w:p>
        </w:tc>
        <w:tc>
          <w:tcPr>
            <w:tcW w:w="2693" w:type="dxa"/>
            <w:hideMark/>
          </w:tcPr>
          <w:p w14:paraId="04D161CB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120 m</w:t>
            </w:r>
          </w:p>
        </w:tc>
      </w:tr>
      <w:tr w:rsidR="00204F40" w:rsidRPr="00204F40" w14:paraId="7AA73354" w14:textId="77777777" w:rsidTr="000744EA">
        <w:tc>
          <w:tcPr>
            <w:tcW w:w="6204" w:type="dxa"/>
            <w:hideMark/>
          </w:tcPr>
          <w:p w14:paraId="1E4A3223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Минимални параметар </w:t>
            </w:r>
            <w:proofErr w:type="spellStart"/>
            <w:r w:rsidRPr="00204F40">
              <w:rPr>
                <w:i/>
                <w:iCs/>
                <w:lang w:val="sr-Cyrl-RS"/>
              </w:rPr>
              <w:t>клотоиде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</w:t>
            </w:r>
            <w:proofErr w:type="spellStart"/>
            <w:r w:rsidRPr="00204F40">
              <w:rPr>
                <w:i/>
                <w:iCs/>
                <w:lang w:val="sr-Cyrl-RS"/>
              </w:rPr>
              <w:t>min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A</w:t>
            </w:r>
          </w:p>
        </w:tc>
        <w:tc>
          <w:tcPr>
            <w:tcW w:w="2693" w:type="dxa"/>
            <w:hideMark/>
          </w:tcPr>
          <w:p w14:paraId="1F722FF9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75 m</w:t>
            </w:r>
          </w:p>
        </w:tc>
      </w:tr>
      <w:tr w:rsidR="00204F40" w:rsidRPr="00204F40" w14:paraId="42560310" w14:textId="77777777" w:rsidTr="000744EA">
        <w:tc>
          <w:tcPr>
            <w:tcW w:w="6204" w:type="dxa"/>
            <w:hideMark/>
          </w:tcPr>
          <w:p w14:paraId="7B690F7A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Минимални попречни нагиб коловоза </w:t>
            </w:r>
            <w:proofErr w:type="spellStart"/>
            <w:r w:rsidRPr="00204F40">
              <w:rPr>
                <w:i/>
                <w:iCs/>
                <w:lang w:val="sr-Cyrl-RS"/>
              </w:rPr>
              <w:t>min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</w:t>
            </w:r>
            <w:proofErr w:type="spellStart"/>
            <w:r w:rsidRPr="00204F40">
              <w:rPr>
                <w:i/>
                <w:iCs/>
                <w:lang w:val="sr-Cyrl-RS"/>
              </w:rPr>
              <w:t>ipk</w:t>
            </w:r>
            <w:proofErr w:type="spellEnd"/>
          </w:p>
        </w:tc>
        <w:tc>
          <w:tcPr>
            <w:tcW w:w="2693" w:type="dxa"/>
            <w:hideMark/>
          </w:tcPr>
          <w:p w14:paraId="0883C62B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2.50%</w:t>
            </w:r>
          </w:p>
        </w:tc>
      </w:tr>
      <w:tr w:rsidR="00204F40" w:rsidRPr="00204F40" w14:paraId="089717C6" w14:textId="77777777" w:rsidTr="000744EA">
        <w:tc>
          <w:tcPr>
            <w:tcW w:w="6204" w:type="dxa"/>
            <w:hideMark/>
          </w:tcPr>
          <w:p w14:paraId="78C0536D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Максимални попречни нагиб коловоза max </w:t>
            </w:r>
            <w:proofErr w:type="spellStart"/>
            <w:r w:rsidRPr="00204F40">
              <w:rPr>
                <w:i/>
                <w:iCs/>
                <w:lang w:val="sr-Cyrl-RS"/>
              </w:rPr>
              <w:t>ipk</w:t>
            </w:r>
            <w:proofErr w:type="spellEnd"/>
          </w:p>
        </w:tc>
        <w:tc>
          <w:tcPr>
            <w:tcW w:w="2693" w:type="dxa"/>
            <w:hideMark/>
          </w:tcPr>
          <w:p w14:paraId="054D7BE8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7%</w:t>
            </w:r>
          </w:p>
        </w:tc>
      </w:tr>
      <w:tr w:rsidR="00204F40" w:rsidRPr="00204F40" w14:paraId="2FEABF48" w14:textId="77777777" w:rsidTr="000744EA">
        <w:tc>
          <w:tcPr>
            <w:tcW w:w="6204" w:type="dxa"/>
            <w:hideMark/>
          </w:tcPr>
          <w:p w14:paraId="2777CC04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Минимални полупречник конкавне вертикалне кривине </w:t>
            </w:r>
          </w:p>
          <w:p w14:paraId="39DA7B10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  <w:lang w:val="sr-Cyrl-RS"/>
              </w:rPr>
            </w:pPr>
            <w:proofErr w:type="spellStart"/>
            <w:r w:rsidRPr="00204F40">
              <w:rPr>
                <w:i/>
                <w:iCs/>
                <w:lang w:val="sr-Cyrl-RS"/>
              </w:rPr>
              <w:t>min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</w:t>
            </w:r>
            <w:proofErr w:type="spellStart"/>
            <w:r w:rsidRPr="00204F40">
              <w:rPr>
                <w:i/>
                <w:iCs/>
                <w:lang w:val="sr-Cyrl-RS"/>
              </w:rPr>
              <w:t>Rvkonkv</w:t>
            </w:r>
            <w:proofErr w:type="spellEnd"/>
          </w:p>
        </w:tc>
        <w:tc>
          <w:tcPr>
            <w:tcW w:w="2693" w:type="dxa"/>
            <w:hideMark/>
          </w:tcPr>
          <w:p w14:paraId="0DAFE4D7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1250 m</w:t>
            </w:r>
          </w:p>
        </w:tc>
      </w:tr>
      <w:tr w:rsidR="00204F40" w:rsidRPr="00204F40" w14:paraId="4CAC4CDE" w14:textId="77777777" w:rsidTr="000744EA">
        <w:tc>
          <w:tcPr>
            <w:tcW w:w="6204" w:type="dxa"/>
            <w:hideMark/>
          </w:tcPr>
          <w:p w14:paraId="5BB90951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>Минимални полупречник конвексне вертикалне кривине</w:t>
            </w:r>
          </w:p>
          <w:p w14:paraId="64A7524C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  <w:lang w:val="sr-Cyrl-RS"/>
              </w:rPr>
            </w:pPr>
            <w:proofErr w:type="spellStart"/>
            <w:r w:rsidRPr="00204F40">
              <w:rPr>
                <w:i/>
                <w:iCs/>
                <w:lang w:val="sr-Cyrl-RS"/>
              </w:rPr>
              <w:t>min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</w:t>
            </w:r>
            <w:proofErr w:type="spellStart"/>
            <w:r w:rsidRPr="00204F40">
              <w:rPr>
                <w:i/>
                <w:iCs/>
                <w:lang w:val="sr-Cyrl-RS"/>
              </w:rPr>
              <w:t>Rvkonk</w:t>
            </w:r>
            <w:proofErr w:type="spellEnd"/>
          </w:p>
        </w:tc>
        <w:tc>
          <w:tcPr>
            <w:tcW w:w="2693" w:type="dxa"/>
            <w:hideMark/>
          </w:tcPr>
          <w:p w14:paraId="020D20B4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1250 m</w:t>
            </w:r>
          </w:p>
        </w:tc>
      </w:tr>
      <w:tr w:rsidR="00204F40" w:rsidRPr="00204F40" w14:paraId="3804A43C" w14:textId="77777777" w:rsidTr="000744EA">
        <w:tc>
          <w:tcPr>
            <w:tcW w:w="6204" w:type="dxa"/>
            <w:hideMark/>
          </w:tcPr>
          <w:p w14:paraId="090DB254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Максимални </w:t>
            </w:r>
            <w:proofErr w:type="spellStart"/>
            <w:r w:rsidRPr="00204F40">
              <w:rPr>
                <w:i/>
                <w:iCs/>
                <w:lang w:val="sr-Cyrl-RS"/>
              </w:rPr>
              <w:t>подужни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нагиб </w:t>
            </w:r>
          </w:p>
        </w:tc>
        <w:tc>
          <w:tcPr>
            <w:tcW w:w="2693" w:type="dxa"/>
            <w:hideMark/>
          </w:tcPr>
          <w:p w14:paraId="6D7EE42E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8%</w:t>
            </w:r>
          </w:p>
        </w:tc>
      </w:tr>
      <w:tr w:rsidR="00204F40" w:rsidRPr="00204F40" w14:paraId="5F999A19" w14:textId="77777777" w:rsidTr="000744EA">
        <w:tc>
          <w:tcPr>
            <w:tcW w:w="6204" w:type="dxa"/>
            <w:hideMark/>
          </w:tcPr>
          <w:p w14:paraId="251D5E73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Максимални нагиб рампе витоперења </w:t>
            </w:r>
          </w:p>
        </w:tc>
        <w:tc>
          <w:tcPr>
            <w:tcW w:w="2693" w:type="dxa"/>
            <w:hideMark/>
          </w:tcPr>
          <w:p w14:paraId="72BD34A5" w14:textId="77777777" w:rsidR="000744EA" w:rsidRPr="00204F40" w:rsidRDefault="000744EA" w:rsidP="000744EA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1.5%</w:t>
            </w:r>
          </w:p>
        </w:tc>
      </w:tr>
    </w:tbl>
    <w:p w14:paraId="618A5889" w14:textId="0992429E" w:rsidR="00A10AA8" w:rsidRPr="00204F40" w:rsidRDefault="00CC65B1" w:rsidP="00A10AA8">
      <w:pPr>
        <w:rPr>
          <w:b/>
          <w:bCs/>
          <w:lang w:val="sr-Cyrl-RS"/>
        </w:rPr>
      </w:pPr>
      <w:r w:rsidRPr="00204F40">
        <w:rPr>
          <w:b/>
          <w:bCs/>
          <w:lang w:val="sr-Cyrl-RS"/>
        </w:rPr>
        <w:t xml:space="preserve">На делу прикључка за </w:t>
      </w:r>
      <w:r w:rsidR="00204F40" w:rsidRPr="00204F40">
        <w:rPr>
          <w:b/>
          <w:bCs/>
          <w:lang w:val="sr-Cyrl-RS"/>
        </w:rPr>
        <w:t>Општину</w:t>
      </w:r>
      <w:r w:rsidRPr="00204F40">
        <w:rPr>
          <w:b/>
          <w:bCs/>
          <w:lang w:val="sr-Cyrl-RS"/>
        </w:rPr>
        <w:t xml:space="preserve"> </w:t>
      </w:r>
      <w:proofErr w:type="spellStart"/>
      <w:r w:rsidRPr="00204F40">
        <w:rPr>
          <w:b/>
          <w:bCs/>
          <w:lang w:val="sr-Cyrl-RS"/>
        </w:rPr>
        <w:t>Лучане</w:t>
      </w:r>
      <w:proofErr w:type="spellEnd"/>
      <w:r w:rsidR="008A4B69" w:rsidRPr="00204F40">
        <w:rPr>
          <w:b/>
          <w:bCs/>
          <w:lang w:val="sr-Cyrl-RS"/>
        </w:rPr>
        <w:t>, нови мост преко реке Бјелице</w:t>
      </w:r>
      <w:r w:rsidRPr="00204F40">
        <w:rPr>
          <w:b/>
          <w:bCs/>
          <w:lang w:val="sr-Cyrl-RS"/>
        </w:rPr>
        <w:t>, као и на раскрсници</w:t>
      </w:r>
      <w:r w:rsidR="008A4B69" w:rsidRPr="00204F40">
        <w:rPr>
          <w:b/>
          <w:bCs/>
          <w:lang w:val="sr-Cyrl-RS"/>
        </w:rPr>
        <w:t xml:space="preserve"> </w:t>
      </w:r>
      <w:r w:rsidR="00A10AA8" w:rsidRPr="00204F40">
        <w:rPr>
          <w:b/>
          <w:bCs/>
          <w:lang w:val="sr-Cyrl-RS"/>
        </w:rPr>
        <w:t>усвојени су следећи гранични елементи плана и профила</w:t>
      </w:r>
      <w:r w:rsidRPr="00204F40">
        <w:rPr>
          <w:b/>
          <w:bCs/>
          <w:lang w:val="sr-Cyrl-RS"/>
        </w:rPr>
        <w:t xml:space="preserve"> за рачунску брзину </w:t>
      </w:r>
      <w:proofErr w:type="spellStart"/>
      <w:r w:rsidR="00A10AA8" w:rsidRPr="00204F40">
        <w:rPr>
          <w:b/>
          <w:bCs/>
        </w:rPr>
        <w:t>Vr</w:t>
      </w:r>
      <w:proofErr w:type="spellEnd"/>
      <w:r w:rsidR="00A10AA8" w:rsidRPr="00204F40">
        <w:rPr>
          <w:b/>
          <w:bCs/>
        </w:rPr>
        <w:t>=</w:t>
      </w:r>
      <w:r w:rsidR="00A10AA8" w:rsidRPr="00204F40">
        <w:rPr>
          <w:b/>
          <w:bCs/>
          <w:lang w:val="sr-Cyrl-RS"/>
        </w:rPr>
        <w:t>40</w:t>
      </w:r>
      <w:r w:rsidR="00A10AA8" w:rsidRPr="00204F40">
        <w:rPr>
          <w:b/>
          <w:bCs/>
        </w:rPr>
        <w:t>km/h</w:t>
      </w:r>
      <w:r w:rsidRPr="00204F40">
        <w:rPr>
          <w:b/>
          <w:bCs/>
          <w:lang w:val="sr-Cyrl-RS"/>
        </w:rPr>
        <w:t>:</w:t>
      </w:r>
    </w:p>
    <w:tbl>
      <w:tblPr>
        <w:tblStyle w:val="TableGrid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693"/>
      </w:tblGrid>
      <w:tr w:rsidR="00204F40" w:rsidRPr="00204F40" w14:paraId="11DA3B77" w14:textId="77777777" w:rsidTr="009C24B4">
        <w:tc>
          <w:tcPr>
            <w:tcW w:w="6204" w:type="dxa"/>
            <w:hideMark/>
          </w:tcPr>
          <w:p w14:paraId="316AAC95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Минимални полупречник хоризонталне кривине </w:t>
            </w:r>
            <w:proofErr w:type="spellStart"/>
            <w:r w:rsidRPr="00204F40">
              <w:rPr>
                <w:i/>
                <w:iCs/>
                <w:lang w:val="sr-Cyrl-RS"/>
              </w:rPr>
              <w:t>minR</w:t>
            </w:r>
            <w:proofErr w:type="spellEnd"/>
          </w:p>
        </w:tc>
        <w:tc>
          <w:tcPr>
            <w:tcW w:w="2693" w:type="dxa"/>
            <w:hideMark/>
          </w:tcPr>
          <w:p w14:paraId="646BAD0A" w14:textId="7774A54E" w:rsidR="00A10AA8" w:rsidRPr="00204F40" w:rsidRDefault="00A10AA8" w:rsidP="009C24B4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  <w:lang w:val="sr-Cyrl-RS"/>
              </w:rPr>
              <w:t>45</w:t>
            </w:r>
            <w:r w:rsidRPr="00204F40">
              <w:rPr>
                <w:i/>
                <w:iCs/>
              </w:rPr>
              <w:t xml:space="preserve"> m</w:t>
            </w:r>
          </w:p>
        </w:tc>
      </w:tr>
      <w:tr w:rsidR="00204F40" w:rsidRPr="00204F40" w14:paraId="785F585E" w14:textId="77777777" w:rsidTr="009C24B4">
        <w:tc>
          <w:tcPr>
            <w:tcW w:w="6204" w:type="dxa"/>
            <w:hideMark/>
          </w:tcPr>
          <w:p w14:paraId="7C280E1B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Минимални параметар </w:t>
            </w:r>
            <w:proofErr w:type="spellStart"/>
            <w:r w:rsidRPr="00204F40">
              <w:rPr>
                <w:i/>
                <w:iCs/>
                <w:lang w:val="sr-Cyrl-RS"/>
              </w:rPr>
              <w:t>клотоиде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</w:t>
            </w:r>
            <w:proofErr w:type="spellStart"/>
            <w:r w:rsidRPr="00204F40">
              <w:rPr>
                <w:i/>
                <w:iCs/>
                <w:lang w:val="sr-Cyrl-RS"/>
              </w:rPr>
              <w:t>min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A</w:t>
            </w:r>
          </w:p>
        </w:tc>
        <w:tc>
          <w:tcPr>
            <w:tcW w:w="2693" w:type="dxa"/>
            <w:hideMark/>
          </w:tcPr>
          <w:p w14:paraId="27B225C2" w14:textId="5498C266" w:rsidR="00A10AA8" w:rsidRPr="00204F40" w:rsidRDefault="00A10AA8" w:rsidP="009C24B4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  <w:lang w:val="sr-Cyrl-RS"/>
              </w:rPr>
              <w:t>35</w:t>
            </w:r>
            <w:r w:rsidRPr="00204F40">
              <w:rPr>
                <w:i/>
                <w:iCs/>
              </w:rPr>
              <w:t xml:space="preserve"> m</w:t>
            </w:r>
          </w:p>
        </w:tc>
      </w:tr>
      <w:tr w:rsidR="00204F40" w:rsidRPr="00204F40" w14:paraId="0D07A8E1" w14:textId="77777777" w:rsidTr="009C24B4">
        <w:tc>
          <w:tcPr>
            <w:tcW w:w="6204" w:type="dxa"/>
            <w:hideMark/>
          </w:tcPr>
          <w:p w14:paraId="7CCE06A1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Минимални попречни нагиб коловоза </w:t>
            </w:r>
            <w:proofErr w:type="spellStart"/>
            <w:r w:rsidRPr="00204F40">
              <w:rPr>
                <w:i/>
                <w:iCs/>
                <w:lang w:val="sr-Cyrl-RS"/>
              </w:rPr>
              <w:t>min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</w:t>
            </w:r>
            <w:proofErr w:type="spellStart"/>
            <w:r w:rsidRPr="00204F40">
              <w:rPr>
                <w:i/>
                <w:iCs/>
                <w:lang w:val="sr-Cyrl-RS"/>
              </w:rPr>
              <w:t>ipk</w:t>
            </w:r>
            <w:proofErr w:type="spellEnd"/>
          </w:p>
        </w:tc>
        <w:tc>
          <w:tcPr>
            <w:tcW w:w="2693" w:type="dxa"/>
            <w:hideMark/>
          </w:tcPr>
          <w:p w14:paraId="06E151B1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2.50%</w:t>
            </w:r>
          </w:p>
        </w:tc>
      </w:tr>
      <w:tr w:rsidR="00204F40" w:rsidRPr="00204F40" w14:paraId="37FCBB3D" w14:textId="77777777" w:rsidTr="009C24B4">
        <w:tc>
          <w:tcPr>
            <w:tcW w:w="6204" w:type="dxa"/>
            <w:hideMark/>
          </w:tcPr>
          <w:p w14:paraId="79E66E57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Максимални попречни нагиб коловоза max </w:t>
            </w:r>
            <w:proofErr w:type="spellStart"/>
            <w:r w:rsidRPr="00204F40">
              <w:rPr>
                <w:i/>
                <w:iCs/>
                <w:lang w:val="sr-Cyrl-RS"/>
              </w:rPr>
              <w:t>ipk</w:t>
            </w:r>
            <w:proofErr w:type="spellEnd"/>
          </w:p>
        </w:tc>
        <w:tc>
          <w:tcPr>
            <w:tcW w:w="2693" w:type="dxa"/>
            <w:hideMark/>
          </w:tcPr>
          <w:p w14:paraId="1823FF10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7%</w:t>
            </w:r>
          </w:p>
        </w:tc>
      </w:tr>
      <w:tr w:rsidR="00204F40" w:rsidRPr="00204F40" w14:paraId="46E2E5D1" w14:textId="77777777" w:rsidTr="009C24B4">
        <w:tc>
          <w:tcPr>
            <w:tcW w:w="6204" w:type="dxa"/>
            <w:hideMark/>
          </w:tcPr>
          <w:p w14:paraId="75A7F65D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Минимални полупречник конкавне вертикалне кривине </w:t>
            </w:r>
          </w:p>
          <w:p w14:paraId="47A33A82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  <w:lang w:val="sr-Cyrl-RS"/>
              </w:rPr>
            </w:pPr>
            <w:proofErr w:type="spellStart"/>
            <w:r w:rsidRPr="00204F40">
              <w:rPr>
                <w:i/>
                <w:iCs/>
                <w:lang w:val="sr-Cyrl-RS"/>
              </w:rPr>
              <w:t>min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</w:t>
            </w:r>
            <w:proofErr w:type="spellStart"/>
            <w:r w:rsidRPr="00204F40">
              <w:rPr>
                <w:i/>
                <w:iCs/>
                <w:lang w:val="sr-Cyrl-RS"/>
              </w:rPr>
              <w:t>Rvkonkv</w:t>
            </w:r>
            <w:proofErr w:type="spellEnd"/>
          </w:p>
        </w:tc>
        <w:tc>
          <w:tcPr>
            <w:tcW w:w="2693" w:type="dxa"/>
            <w:hideMark/>
          </w:tcPr>
          <w:p w14:paraId="5C085648" w14:textId="0FB8121F" w:rsidR="00A10AA8" w:rsidRPr="00204F40" w:rsidRDefault="00A10AA8" w:rsidP="009C24B4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  <w:lang w:val="sr-Cyrl-RS"/>
              </w:rPr>
              <w:t>550</w:t>
            </w:r>
            <w:r w:rsidRPr="00204F40">
              <w:rPr>
                <w:i/>
                <w:iCs/>
              </w:rPr>
              <w:t xml:space="preserve"> m</w:t>
            </w:r>
          </w:p>
        </w:tc>
      </w:tr>
      <w:tr w:rsidR="00204F40" w:rsidRPr="00204F40" w14:paraId="41E750B3" w14:textId="77777777" w:rsidTr="009C24B4">
        <w:tc>
          <w:tcPr>
            <w:tcW w:w="6204" w:type="dxa"/>
            <w:hideMark/>
          </w:tcPr>
          <w:p w14:paraId="09975EB7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>Минимални полупречник конвексне вертикалне кривине</w:t>
            </w:r>
          </w:p>
          <w:p w14:paraId="0F195984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  <w:lang w:val="sr-Cyrl-RS"/>
              </w:rPr>
            </w:pPr>
            <w:proofErr w:type="spellStart"/>
            <w:r w:rsidRPr="00204F40">
              <w:rPr>
                <w:i/>
                <w:iCs/>
                <w:lang w:val="sr-Cyrl-RS"/>
              </w:rPr>
              <w:t>min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</w:t>
            </w:r>
            <w:proofErr w:type="spellStart"/>
            <w:r w:rsidRPr="00204F40">
              <w:rPr>
                <w:i/>
                <w:iCs/>
                <w:lang w:val="sr-Cyrl-RS"/>
              </w:rPr>
              <w:t>Rvkonk</w:t>
            </w:r>
            <w:proofErr w:type="spellEnd"/>
          </w:p>
        </w:tc>
        <w:tc>
          <w:tcPr>
            <w:tcW w:w="2693" w:type="dxa"/>
            <w:hideMark/>
          </w:tcPr>
          <w:p w14:paraId="5A8BD7EC" w14:textId="315F0F08" w:rsidR="00A10AA8" w:rsidRPr="00204F40" w:rsidRDefault="00A10AA8" w:rsidP="009C24B4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  <w:lang w:val="sr-Cyrl-RS"/>
              </w:rPr>
              <w:t>400</w:t>
            </w:r>
            <w:r w:rsidRPr="00204F40">
              <w:rPr>
                <w:i/>
                <w:iCs/>
              </w:rPr>
              <w:t xml:space="preserve"> m</w:t>
            </w:r>
          </w:p>
        </w:tc>
      </w:tr>
      <w:tr w:rsidR="00204F40" w:rsidRPr="00204F40" w14:paraId="78E9DB66" w14:textId="77777777" w:rsidTr="009C24B4">
        <w:tc>
          <w:tcPr>
            <w:tcW w:w="6204" w:type="dxa"/>
            <w:hideMark/>
          </w:tcPr>
          <w:p w14:paraId="620FC64E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Максимални </w:t>
            </w:r>
            <w:proofErr w:type="spellStart"/>
            <w:r w:rsidRPr="00204F40">
              <w:rPr>
                <w:i/>
                <w:iCs/>
                <w:lang w:val="sr-Cyrl-RS"/>
              </w:rPr>
              <w:t>подужни</w:t>
            </w:r>
            <w:proofErr w:type="spellEnd"/>
            <w:r w:rsidRPr="00204F40">
              <w:rPr>
                <w:i/>
                <w:iCs/>
                <w:lang w:val="sr-Cyrl-RS"/>
              </w:rPr>
              <w:t xml:space="preserve"> нагиб </w:t>
            </w:r>
          </w:p>
        </w:tc>
        <w:tc>
          <w:tcPr>
            <w:tcW w:w="2693" w:type="dxa"/>
            <w:hideMark/>
          </w:tcPr>
          <w:p w14:paraId="12379207" w14:textId="5033A74F" w:rsidR="00A10AA8" w:rsidRPr="00204F40" w:rsidRDefault="00A10AA8" w:rsidP="009C24B4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  <w:lang w:val="sr-Cyrl-RS"/>
              </w:rPr>
              <w:t>10</w:t>
            </w:r>
            <w:r w:rsidRPr="00204F40">
              <w:rPr>
                <w:i/>
                <w:iCs/>
              </w:rPr>
              <w:t>%</w:t>
            </w:r>
          </w:p>
        </w:tc>
      </w:tr>
      <w:tr w:rsidR="00204F40" w:rsidRPr="00204F40" w14:paraId="13DF847C" w14:textId="77777777" w:rsidTr="00CC65B1">
        <w:trPr>
          <w:trHeight w:val="792"/>
        </w:trPr>
        <w:tc>
          <w:tcPr>
            <w:tcW w:w="6204" w:type="dxa"/>
            <w:hideMark/>
          </w:tcPr>
          <w:p w14:paraId="3E92D57C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  <w:lang w:val="sr-Cyrl-RS"/>
              </w:rPr>
            </w:pPr>
            <w:r w:rsidRPr="00204F40">
              <w:rPr>
                <w:i/>
                <w:iCs/>
                <w:lang w:val="sr-Cyrl-RS"/>
              </w:rPr>
              <w:t xml:space="preserve">Максимални нагиб рампе витоперења </w:t>
            </w:r>
          </w:p>
        </w:tc>
        <w:tc>
          <w:tcPr>
            <w:tcW w:w="2693" w:type="dxa"/>
            <w:hideMark/>
          </w:tcPr>
          <w:p w14:paraId="2214D296" w14:textId="77777777" w:rsidR="00A10AA8" w:rsidRPr="00204F40" w:rsidRDefault="00A10AA8" w:rsidP="009C24B4">
            <w:pPr>
              <w:spacing w:after="160" w:line="259" w:lineRule="auto"/>
              <w:rPr>
                <w:i/>
                <w:iCs/>
              </w:rPr>
            </w:pPr>
            <w:r w:rsidRPr="00204F40">
              <w:rPr>
                <w:i/>
                <w:iCs/>
              </w:rPr>
              <w:t>1.5%</w:t>
            </w:r>
          </w:p>
        </w:tc>
      </w:tr>
    </w:tbl>
    <w:bookmarkEnd w:id="1"/>
    <w:p w14:paraId="18A68EC7" w14:textId="529C88AA" w:rsidR="00C94663" w:rsidRPr="00204F40" w:rsidRDefault="00CC65B1" w:rsidP="00CC65B1">
      <w:pPr>
        <w:rPr>
          <w:lang w:val="sr-Cyrl-RS"/>
        </w:rPr>
      </w:pPr>
      <w:r w:rsidRPr="00204F40">
        <w:rPr>
          <w:lang w:val="sr-Cyrl-RS"/>
        </w:rPr>
        <w:t>У наставку деонице, на месту бившег моста преко реке Бјелице, планирана је рехабилитација саобраћајнице све до укрштања са Аутопутом А2. Сви елементи плана и профила</w:t>
      </w:r>
      <w:r w:rsidR="00204F40" w:rsidRPr="00204F40">
        <w:rPr>
          <w:lang w:val="sr-Cyrl-RS"/>
        </w:rPr>
        <w:t xml:space="preserve"> у зони споја</w:t>
      </w:r>
      <w:r w:rsidRPr="00204F40">
        <w:rPr>
          <w:lang w:val="sr-Cyrl-RS"/>
        </w:rPr>
        <w:t xml:space="preserve"> су усклађени у складу са пројект</w:t>
      </w:r>
      <w:r w:rsidR="00204F40" w:rsidRPr="00204F40">
        <w:rPr>
          <w:lang w:val="sr-Cyrl-RS"/>
        </w:rPr>
        <w:t>о</w:t>
      </w:r>
      <w:r w:rsidRPr="00204F40">
        <w:rPr>
          <w:lang w:val="sr-Cyrl-RS"/>
        </w:rPr>
        <w:t>м рехабилитације.</w:t>
      </w:r>
    </w:p>
    <w:sectPr w:rsidR="00C94663" w:rsidRPr="00204F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822E7"/>
    <w:multiLevelType w:val="hybridMultilevel"/>
    <w:tmpl w:val="3EDAB452"/>
    <w:lvl w:ilvl="0" w:tplc="29CE25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442B"/>
    <w:multiLevelType w:val="hybridMultilevel"/>
    <w:tmpl w:val="A10AAE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85EDD"/>
    <w:multiLevelType w:val="hybridMultilevel"/>
    <w:tmpl w:val="1CFEAFD8"/>
    <w:lvl w:ilvl="0" w:tplc="CCA6AF00">
      <w:start w:val="1"/>
      <w:numFmt w:val="bullet"/>
      <w:lvlText w:val="-"/>
      <w:lvlJc w:val="left"/>
      <w:pPr>
        <w:ind w:left="743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40B05553"/>
    <w:multiLevelType w:val="hybridMultilevel"/>
    <w:tmpl w:val="38F8E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04450"/>
    <w:multiLevelType w:val="hybridMultilevel"/>
    <w:tmpl w:val="D6AC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2736A"/>
    <w:multiLevelType w:val="hybridMultilevel"/>
    <w:tmpl w:val="132E1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2873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189121">
    <w:abstractNumId w:val="1"/>
  </w:num>
  <w:num w:numId="3" w16cid:durableId="802357252">
    <w:abstractNumId w:val="0"/>
  </w:num>
  <w:num w:numId="4" w16cid:durableId="1606305433">
    <w:abstractNumId w:val="4"/>
  </w:num>
  <w:num w:numId="5" w16cid:durableId="589199636">
    <w:abstractNumId w:val="2"/>
  </w:num>
  <w:num w:numId="6" w16cid:durableId="1107576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4EA"/>
    <w:rsid w:val="000120AB"/>
    <w:rsid w:val="00074418"/>
    <w:rsid w:val="000744EA"/>
    <w:rsid w:val="000D1258"/>
    <w:rsid w:val="000F4DBF"/>
    <w:rsid w:val="00204F40"/>
    <w:rsid w:val="002C0D0E"/>
    <w:rsid w:val="002E3FDF"/>
    <w:rsid w:val="003A1C1C"/>
    <w:rsid w:val="006943A4"/>
    <w:rsid w:val="008802E4"/>
    <w:rsid w:val="008A4B69"/>
    <w:rsid w:val="00A10AA8"/>
    <w:rsid w:val="00A64DF7"/>
    <w:rsid w:val="00B42E7B"/>
    <w:rsid w:val="00C94663"/>
    <w:rsid w:val="00CC65B1"/>
    <w:rsid w:val="00DD5914"/>
    <w:rsid w:val="00E357A9"/>
    <w:rsid w:val="00F34D36"/>
    <w:rsid w:val="00F8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B37BB"/>
  <w15:chartTrackingRefBased/>
  <w15:docId w15:val="{9F499687-A129-49EA-86FF-C21AD2CA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744EA"/>
    <w:pPr>
      <w:spacing w:after="0" w:line="260" w:lineRule="atLeast"/>
      <w:ind w:left="720"/>
    </w:pPr>
    <w:rPr>
      <w:rFonts w:ascii="Frutiger" w:eastAsia="Times New Roman" w:hAnsi="Frutiger" w:cs="Times New Roman"/>
      <w:kern w:val="0"/>
      <w:sz w:val="20"/>
      <w:szCs w:val="20"/>
      <w:lang w:val="sl-SI" w:eastAsia="sl-SI"/>
      <w14:ligatures w14:val="none"/>
    </w:rPr>
  </w:style>
  <w:style w:type="character" w:customStyle="1" w:styleId="ListParagraphChar">
    <w:name w:val="List Paragraph Char"/>
    <w:link w:val="ListParagraph"/>
    <w:uiPriority w:val="34"/>
    <w:locked/>
    <w:rsid w:val="000744EA"/>
    <w:rPr>
      <w:rFonts w:ascii="Frutiger" w:eastAsia="Times New Roman" w:hAnsi="Frutiger" w:cs="Times New Roman"/>
      <w:kern w:val="0"/>
      <w:sz w:val="20"/>
      <w:szCs w:val="20"/>
      <w:lang w:val="sl-SI" w:eastAsia="sl-SI"/>
      <w14:ligatures w14:val="none"/>
    </w:rPr>
  </w:style>
  <w:style w:type="paragraph" w:styleId="NormalWeb">
    <w:name w:val="Normal (Web)"/>
    <w:basedOn w:val="Normal"/>
    <w:uiPriority w:val="99"/>
    <w:unhideWhenUsed/>
    <w:rsid w:val="00074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Ninoslav Nestorović</dc:creator>
  <cp:keywords/>
  <dc:description/>
  <cp:lastModifiedBy>ivana rudić</cp:lastModifiedBy>
  <cp:revision>5</cp:revision>
  <dcterms:created xsi:type="dcterms:W3CDTF">2024-09-04T10:49:00Z</dcterms:created>
  <dcterms:modified xsi:type="dcterms:W3CDTF">2024-10-12T13:22:00Z</dcterms:modified>
</cp:coreProperties>
</file>